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1C" w:rsidRPr="002B6F66" w:rsidRDefault="00D63125" w:rsidP="008710B2">
      <w:pPr>
        <w:pStyle w:val="Title"/>
        <w:rPr>
          <w:rStyle w:val="SubtleReference"/>
        </w:rPr>
      </w:pPr>
      <w:bookmarkStart w:id="0" w:name="_Toc353880057"/>
      <w:r w:rsidRPr="002B6F66">
        <w:rPr>
          <w:rStyle w:val="SubtleReference"/>
        </w:rPr>
        <w:t xml:space="preserve">Annex to </w:t>
      </w:r>
      <w:proofErr w:type="gramStart"/>
      <w:r w:rsidRPr="002B6F66">
        <w:rPr>
          <w:rStyle w:val="SubtleReference"/>
        </w:rPr>
        <w:t>STG(</w:t>
      </w:r>
      <w:proofErr w:type="gramEnd"/>
      <w:r w:rsidRPr="002B6F66">
        <w:rPr>
          <w:rStyle w:val="SubtleReference"/>
        </w:rPr>
        <w:t>13)</w:t>
      </w:r>
      <w:r w:rsidR="00B9125B">
        <w:rPr>
          <w:rStyle w:val="SubtleReference"/>
        </w:rPr>
        <w:t>21</w:t>
      </w:r>
      <w:r w:rsidRPr="002B6F66">
        <w:rPr>
          <w:rStyle w:val="SubtleReference"/>
        </w:rPr>
        <w:t xml:space="preserve"> blocking interference</w:t>
      </w:r>
      <w:bookmarkEnd w:id="0"/>
    </w:p>
    <w:p w:rsidR="00D63125" w:rsidRPr="00D63125" w:rsidRDefault="00D63125" w:rsidP="00D63125">
      <w:pPr>
        <w:rPr>
          <w:lang w:eastAsia="de-DE"/>
        </w:rPr>
      </w:pPr>
    </w:p>
    <w:sdt>
      <w:sdtPr>
        <w:rPr>
          <w:rFonts w:ascii="Arial" w:eastAsia="Times New Roman" w:hAnsi="Arial" w:cs="Times New Roman"/>
          <w:b w:val="0"/>
          <w:bCs w:val="0"/>
          <w:kern w:val="0"/>
          <w:sz w:val="20"/>
          <w:szCs w:val="24"/>
        </w:rPr>
        <w:id w:val="152267579"/>
        <w:docPartObj>
          <w:docPartGallery w:val="Table of Contents"/>
          <w:docPartUnique/>
        </w:docPartObj>
      </w:sdtPr>
      <w:sdtEndPr>
        <w:rPr>
          <w:lang w:val="de-DE"/>
        </w:rPr>
      </w:sdtEndPr>
      <w:sdtContent>
        <w:p w:rsidR="001920BE" w:rsidRDefault="001920BE">
          <w:pPr>
            <w:pStyle w:val="TOCHeading"/>
          </w:pPr>
          <w:r>
            <w:t>Content</w:t>
          </w:r>
        </w:p>
        <w:p w:rsidR="008C337A" w:rsidRDefault="001920BE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r>
            <w:rPr>
              <w:lang w:val="de-DE"/>
            </w:rPr>
            <w:fldChar w:fldCharType="begin"/>
          </w:r>
          <w:r>
            <w:rPr>
              <w:lang w:val="de-DE"/>
            </w:rPr>
            <w:instrText xml:space="preserve"> TOC \o "1-3" \h \z \u </w:instrText>
          </w:r>
          <w:r>
            <w:rPr>
              <w:lang w:val="de-DE"/>
            </w:rPr>
            <w:fldChar w:fldCharType="separate"/>
          </w:r>
          <w:hyperlink w:anchor="_Toc353880057" w:history="1">
            <w:r w:rsidR="008C337A" w:rsidRPr="004D4837">
              <w:rPr>
                <w:rStyle w:val="Hyperlink"/>
                <w:smallCaps/>
                <w:noProof/>
              </w:rPr>
              <w:t>Annex to STG(13)21 blocking interference</w:t>
            </w:r>
            <w:r w:rsidR="008C337A">
              <w:rPr>
                <w:noProof/>
                <w:webHidden/>
              </w:rPr>
              <w:tab/>
            </w:r>
            <w:r w:rsidR="008C337A">
              <w:rPr>
                <w:noProof/>
                <w:webHidden/>
              </w:rPr>
              <w:fldChar w:fldCharType="begin"/>
            </w:r>
            <w:r w:rsidR="008C337A">
              <w:rPr>
                <w:noProof/>
                <w:webHidden/>
              </w:rPr>
              <w:instrText xml:space="preserve"> PAGEREF _Toc353880057 \h </w:instrText>
            </w:r>
            <w:r w:rsidR="008C337A">
              <w:rPr>
                <w:noProof/>
                <w:webHidden/>
              </w:rPr>
            </w:r>
            <w:r w:rsidR="008C337A">
              <w:rPr>
                <w:noProof/>
                <w:webHidden/>
              </w:rPr>
              <w:fldChar w:fldCharType="separate"/>
            </w:r>
            <w:r w:rsidR="008C337A">
              <w:rPr>
                <w:noProof/>
                <w:webHidden/>
              </w:rPr>
              <w:t>1</w:t>
            </w:r>
            <w:r w:rsidR="008C337A"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58" w:history="1">
            <w:r w:rsidRPr="004D4837">
              <w:rPr>
                <w:rStyle w:val="Hyperlink"/>
                <w:noProof/>
              </w:rPr>
              <w:t>0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Correction of the calculation (see ticket #997)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59" w:history="1">
            <w:r w:rsidRPr="004D4837">
              <w:rPr>
                <w:rStyle w:val="Hyperlink"/>
                <w:noProof/>
              </w:rPr>
              <w:t>0.1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Current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0" w:history="1">
            <w:r w:rsidRPr="004D4837">
              <w:rPr>
                <w:rStyle w:val="Hyperlink"/>
                <w:noProof/>
              </w:rPr>
              <w:t>0.2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Proposed changes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1" w:history="1">
            <w:r w:rsidRPr="004D4837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Consideration of the emission mask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2" w:history="1">
            <w:r w:rsidRPr="004D4837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3" w:history="1">
            <w:r w:rsidRPr="004D4837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Current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4" w:history="1">
            <w:r w:rsidRPr="004D4837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Trial to repair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337A" w:rsidRDefault="008C337A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353880065" w:history="1">
            <w:r w:rsidRPr="004D4837">
              <w:rPr>
                <w:rStyle w:val="Hyperlink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Pr="004D4837">
              <w:rPr>
                <w:rStyle w:val="Hyperlink"/>
                <w:noProof/>
              </w:rPr>
              <w:t>Proposal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_Toc353880065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920BE" w:rsidRDefault="001920BE">
          <w:pPr>
            <w:rPr>
              <w:lang w:val="de-DE"/>
            </w:rPr>
          </w:pPr>
          <w:r>
            <w:rPr>
              <w:lang w:val="de-DE"/>
            </w:rPr>
            <w:fldChar w:fldCharType="end"/>
          </w:r>
        </w:p>
      </w:sdtContent>
    </w:sdt>
    <w:p w:rsidR="00D63125" w:rsidRDefault="00D63125" w:rsidP="00D63125">
      <w:pPr>
        <w:rPr>
          <w:lang w:eastAsia="de-DE"/>
        </w:rPr>
      </w:pPr>
    </w:p>
    <w:p w:rsidR="00D63125" w:rsidRDefault="00D63125" w:rsidP="008710B2">
      <w:pPr>
        <w:pStyle w:val="Heading1"/>
      </w:pPr>
      <w:bookmarkStart w:id="1" w:name="_Toc353880058"/>
      <w:r>
        <w:lastRenderedPageBreak/>
        <w:t>Correction of the calculation</w:t>
      </w:r>
      <w:r w:rsidR="00FB5E4C">
        <w:t xml:space="preserve"> (see ticket #997)</w:t>
      </w:r>
      <w:bookmarkEnd w:id="1"/>
    </w:p>
    <w:p w:rsidR="0071533B" w:rsidRPr="0071533B" w:rsidRDefault="0071533B" w:rsidP="0071533B">
      <w:pPr>
        <w:pStyle w:val="Heading2"/>
      </w:pPr>
      <w:bookmarkStart w:id="2" w:name="_Toc353880059"/>
      <w:r w:rsidRPr="0071533B">
        <w:t>Current implementation</w:t>
      </w:r>
      <w:bookmarkEnd w:id="2"/>
    </w:p>
    <w:p w:rsidR="00D63125" w:rsidRDefault="00CF769E" w:rsidP="00CF769E">
      <w:pPr>
        <w:pStyle w:val="Caption"/>
        <w:rPr>
          <w:lang w:eastAsia="de-DE"/>
        </w:rPr>
      </w:pPr>
      <w:r>
        <w:rPr>
          <w:lang w:eastAsia="de-DE"/>
        </w:rPr>
        <w:t>Table 1: comparison of current implementation and needed changes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93"/>
        <w:gridCol w:w="2414"/>
        <w:gridCol w:w="1946"/>
      </w:tblGrid>
      <w:tr w:rsidR="00D63125" w:rsidRPr="004501C8" w:rsidTr="00D63125">
        <w:tc>
          <w:tcPr>
            <w:tcW w:w="1875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mode</w:t>
            </w:r>
          </w:p>
        </w:tc>
        <w:tc>
          <w:tcPr>
            <w:tcW w:w="2693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Calculation</w:t>
            </w:r>
            <w:r>
              <w:rPr>
                <w:rFonts w:ascii="Calibri" w:hAnsi="Calibri" w:cs="Calibri"/>
                <w:szCs w:val="22"/>
                <w:lang w:val="en-GB"/>
              </w:rPr>
              <w:t xml:space="preserve"> (corrected)</w:t>
            </w:r>
          </w:p>
        </w:tc>
        <w:tc>
          <w:tcPr>
            <w:tcW w:w="2414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Comments</w:t>
            </w:r>
          </w:p>
        </w:tc>
        <w:tc>
          <w:tcPr>
            <w:tcW w:w="1946" w:type="dxa"/>
          </w:tcPr>
          <w:p w:rsidR="00D63125" w:rsidRPr="00AD4DD3" w:rsidRDefault="00D63125" w:rsidP="004259B3">
            <w:pPr>
              <w:rPr>
                <w:rFonts w:ascii="Calibri" w:hAnsi="Calibri" w:cs="Calibri"/>
                <w:szCs w:val="22"/>
                <w:lang w:val="en-GB"/>
              </w:rPr>
            </w:pPr>
            <w:r>
              <w:rPr>
                <w:rFonts w:ascii="Calibri" w:hAnsi="Calibri" w:cs="Calibri"/>
                <w:szCs w:val="22"/>
                <w:lang w:val="en-GB"/>
              </w:rPr>
              <w:t>Currently implemented</w:t>
            </w:r>
          </w:p>
        </w:tc>
      </w:tr>
      <w:tr w:rsidR="00D63125" w:rsidRPr="00D63125" w:rsidTr="00D63125">
        <w:tc>
          <w:tcPr>
            <w:tcW w:w="1875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Eq1 (mode: user defined): </w:t>
            </w:r>
          </w:p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(no change)</w:t>
            </w:r>
          </w:p>
        </w:tc>
        <w:tc>
          <w:tcPr>
            <w:tcW w:w="2693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=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</w:p>
        </w:tc>
        <w:tc>
          <w:tcPr>
            <w:tcW w:w="2414" w:type="dxa"/>
            <w:shd w:val="clear" w:color="auto" w:fill="auto"/>
          </w:tcPr>
          <w:p w:rsidR="00D63125" w:rsidRPr="00AD4DD3" w:rsidRDefault="00D63125" w:rsidP="004259B3">
            <w:pPr>
              <w:ind w:left="-5"/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Here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similar to a “blocking response”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(as used in STG(12)25) in dB (positive values) </w:t>
            </w:r>
          </w:p>
          <w:p w:rsidR="00D63125" w:rsidRPr="00AD4DD3" w:rsidRDefault="00D63125" w:rsidP="004259B3">
            <w:pPr>
              <w:ind w:left="-5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946" w:type="dxa"/>
          </w:tcPr>
          <w:p w:rsidR="00D63125" w:rsidRPr="00AD4DD3" w:rsidRDefault="00D63125" w:rsidP="004259B3">
            <w:pPr>
              <w:ind w:left="-5"/>
              <w:rPr>
                <w:rFonts w:ascii="Calibri" w:hAnsi="Calibri" w:cs="Calibri"/>
                <w:szCs w:val="22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=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</w:p>
        </w:tc>
      </w:tr>
      <w:tr w:rsidR="00D63125" w:rsidRPr="00D63125" w:rsidTr="00D63125">
        <w:tc>
          <w:tcPr>
            <w:tcW w:w="1875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Eq2 (mode: protection ratio):</w:t>
            </w:r>
          </w:p>
        </w:tc>
        <w:tc>
          <w:tcPr>
            <w:tcW w:w="2693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vr_BlockingRatio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=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+ C/(N+I) + </w:t>
            </w:r>
            <w:r w:rsidRPr="00AD4DD3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(N+I)/N</w:t>
            </w:r>
          </w:p>
        </w:tc>
        <w:tc>
          <w:tcPr>
            <w:tcW w:w="2414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Here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in dB (positive and negative values)</w:t>
            </w:r>
          </w:p>
        </w:tc>
        <w:tc>
          <w:tcPr>
            <w:tcW w:w="1946" w:type="dxa"/>
          </w:tcPr>
          <w:p w:rsidR="00D63125" w:rsidRPr="00AD4DD3" w:rsidRDefault="00D63125" w:rsidP="004259B3">
            <w:pPr>
              <w:rPr>
                <w:rFonts w:ascii="Calibri" w:hAnsi="Calibri" w:cs="Calibri"/>
                <w:szCs w:val="22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vr_BlockingRatio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=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+ C/(N+I) +</w:t>
            </w:r>
            <w:r>
              <w:rPr>
                <w:rFonts w:ascii="Calibri" w:hAnsi="Calibri" w:cs="Calibri"/>
                <w:szCs w:val="22"/>
                <w:lang w:val="en-GB"/>
              </w:rPr>
              <w:t xml:space="preserve"> </w:t>
            </w:r>
            <w:r w:rsidRPr="00D63125">
              <w:rPr>
                <w:rFonts w:ascii="Calibri" w:hAnsi="Calibri" w:cs="Calibri"/>
                <w:b/>
                <w:color w:val="FF0000"/>
                <w:szCs w:val="22"/>
                <w:lang w:val="en-GB"/>
              </w:rPr>
              <w:t>3</w:t>
            </w:r>
          </w:p>
        </w:tc>
      </w:tr>
      <w:tr w:rsidR="00D63125" w:rsidRPr="00D63125" w:rsidTr="00D63125">
        <w:tc>
          <w:tcPr>
            <w:tcW w:w="1875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Eq3 (mode: sensitivity):</w:t>
            </w:r>
          </w:p>
        </w:tc>
        <w:tc>
          <w:tcPr>
            <w:tcW w:w="2693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vr_sensitivity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=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+ C/(N+I) –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sensitivity_receiver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- </w:t>
            </w:r>
            <w:r w:rsidRPr="00AD4DD3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I/N</w:t>
            </w:r>
          </w:p>
        </w:tc>
        <w:tc>
          <w:tcPr>
            <w:tcW w:w="2414" w:type="dxa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Here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similar to a “blocking level” i.e. the maximum acceptable interfering power in dBm</w:t>
            </w:r>
          </w:p>
        </w:tc>
        <w:tc>
          <w:tcPr>
            <w:tcW w:w="1946" w:type="dxa"/>
          </w:tcPr>
          <w:p w:rsidR="00D63125" w:rsidRPr="00AD4DD3" w:rsidRDefault="00D63125" w:rsidP="004259B3">
            <w:pPr>
              <w:rPr>
                <w:rFonts w:ascii="Calibri" w:hAnsi="Calibri" w:cs="Calibri"/>
                <w:szCs w:val="22"/>
                <w:lang w:val="en-GB"/>
              </w:rPr>
            </w:pP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vr_sensitivity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=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Pr="00AD4DD3">
              <w:rPr>
                <w:rFonts w:ascii="Calibri" w:hAnsi="Calibri" w:cs="Calibri"/>
                <w:sz w:val="22"/>
                <w:szCs w:val="22"/>
                <w:vertAlign w:val="subscript"/>
                <w:lang w:val="en-GB"/>
              </w:rPr>
              <w:t>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+ C/(N+I) –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sensitivity_receiver</w:t>
            </w:r>
            <w:proofErr w:type="spellEnd"/>
          </w:p>
        </w:tc>
      </w:tr>
      <w:tr w:rsidR="00D63125" w:rsidRPr="00D63125" w:rsidTr="00D63125">
        <w:tc>
          <w:tcPr>
            <w:tcW w:w="6982" w:type="dxa"/>
            <w:gridSpan w:val="3"/>
            <w:shd w:val="clear" w:color="auto" w:fill="auto"/>
          </w:tcPr>
          <w:p w:rsidR="00D63125" w:rsidRPr="00AD4DD3" w:rsidRDefault="00D63125" w:rsidP="004259B3">
            <w:pPr>
              <w:rPr>
                <w:rFonts w:ascii="Calibri" w:hAnsi="Calibri" w:cs="Calibri"/>
                <w:lang w:val="en-GB"/>
              </w:rPr>
            </w:pPr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Note: </w:t>
            </w:r>
            <w:proofErr w:type="spellStart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>Bmask</w:t>
            </w:r>
            <w:proofErr w:type="spellEnd"/>
            <w:r w:rsidRPr="00AD4DD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the input from the user and extracted from the standard.</w:t>
            </w:r>
          </w:p>
        </w:tc>
        <w:tc>
          <w:tcPr>
            <w:tcW w:w="1946" w:type="dxa"/>
          </w:tcPr>
          <w:p w:rsidR="00D63125" w:rsidRPr="00AD4DD3" w:rsidRDefault="00D63125" w:rsidP="004259B3">
            <w:pPr>
              <w:rPr>
                <w:rFonts w:ascii="Calibri" w:hAnsi="Calibri" w:cs="Calibri"/>
                <w:szCs w:val="22"/>
                <w:lang w:val="en-GB"/>
              </w:rPr>
            </w:pPr>
          </w:p>
        </w:tc>
      </w:tr>
    </w:tbl>
    <w:p w:rsidR="00D63125" w:rsidRDefault="00D63125" w:rsidP="00D63125">
      <w:pPr>
        <w:rPr>
          <w:lang w:eastAsia="de-DE"/>
        </w:rPr>
      </w:pPr>
    </w:p>
    <w:p w:rsidR="004501C8" w:rsidRDefault="004501C8" w:rsidP="00D63125">
      <w:pPr>
        <w:rPr>
          <w:lang w:eastAsia="de-DE"/>
        </w:rPr>
      </w:pPr>
    </w:p>
    <w:p w:rsidR="004501C8" w:rsidRDefault="004501C8" w:rsidP="00912F35">
      <w:pPr>
        <w:pStyle w:val="Heading2"/>
      </w:pPr>
      <w:bookmarkStart w:id="3" w:name="_Toc353880060"/>
      <w:r w:rsidRPr="00912F35">
        <w:t>Proposed changes</w:t>
      </w:r>
      <w:bookmarkEnd w:id="3"/>
    </w:p>
    <w:p w:rsidR="00912F35" w:rsidRDefault="00F57505" w:rsidP="00912F35">
      <w:r>
        <w:t xml:space="preserve">Source on package </w:t>
      </w:r>
      <w:proofErr w:type="spellStart"/>
      <w:r>
        <w:t>org.seamcat.model.core</w:t>
      </w:r>
      <w:proofErr w:type="spellEnd"/>
    </w:p>
    <w:p w:rsidR="00F57505" w:rsidRDefault="00F57505" w:rsidP="00912F35">
      <w:r>
        <w:t xml:space="preserve">Class </w:t>
      </w:r>
      <w:r w:rsidRPr="00F57505">
        <w:t>BlockingInterference.java</w:t>
      </w:r>
    </w:p>
    <w:p w:rsidR="00F57505" w:rsidRDefault="00F57505" w:rsidP="00912F35"/>
    <w:p w:rsidR="00F57505" w:rsidRDefault="00F57505" w:rsidP="00912F35">
      <w:r>
        <w:rPr>
          <w:noProof/>
          <w:lang w:val="en-GB" w:eastAsia="en-GB"/>
        </w:rPr>
        <w:drawing>
          <wp:inline distT="0" distB="0" distL="0" distR="0">
            <wp:extent cx="5760720" cy="1677670"/>
            <wp:effectExtent l="19050" t="0" r="0" b="0"/>
            <wp:docPr id="2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505" w:rsidRDefault="00F57505" w:rsidP="00F57505">
      <w:pPr>
        <w:jc w:val="center"/>
      </w:pPr>
      <w:r>
        <w:t xml:space="preserve">Proposed change </w:t>
      </w:r>
      <w:r w:rsidR="00CF769E">
        <w:t>for</w:t>
      </w:r>
      <w:r>
        <w:t xml:space="preserve"> Eq2 (yellow marked)</w:t>
      </w:r>
    </w:p>
    <w:p w:rsidR="005E74C5" w:rsidRDefault="005E74C5" w:rsidP="00F57505">
      <w:pPr>
        <w:jc w:val="center"/>
      </w:pPr>
    </w:p>
    <w:p w:rsidR="005E74C5" w:rsidRDefault="005E74C5" w:rsidP="00F57505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>
            <wp:extent cx="5760720" cy="1849755"/>
            <wp:effectExtent l="19050" t="0" r="0" b="0"/>
            <wp:docPr id="3" name="Bild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4C5" w:rsidRDefault="00CF769E" w:rsidP="00F57505">
      <w:pPr>
        <w:jc w:val="center"/>
      </w:pPr>
      <w:r>
        <w:t>Proposed change for</w:t>
      </w:r>
      <w:r w:rsidR="005E74C5">
        <w:t xml:space="preserve"> Eq3 (yellow marked)</w:t>
      </w:r>
    </w:p>
    <w:p w:rsidR="00FB5E4C" w:rsidRDefault="00FB5E4C" w:rsidP="00F57505">
      <w:pPr>
        <w:jc w:val="center"/>
      </w:pPr>
    </w:p>
    <w:p w:rsidR="00FB5E4C" w:rsidRDefault="00996286" w:rsidP="00996286">
      <w:pPr>
        <w:pStyle w:val="Heading1"/>
      </w:pPr>
      <w:bookmarkStart w:id="4" w:name="_Toc353880061"/>
      <w:r>
        <w:lastRenderedPageBreak/>
        <w:t>Consider</w:t>
      </w:r>
      <w:r w:rsidR="001920BE">
        <w:t>ation of</w:t>
      </w:r>
      <w:r>
        <w:t xml:space="preserve"> the emission mask</w:t>
      </w:r>
      <w:bookmarkEnd w:id="4"/>
      <w:r>
        <w:t xml:space="preserve"> </w:t>
      </w:r>
    </w:p>
    <w:p w:rsidR="00A01433" w:rsidRDefault="00A01433" w:rsidP="00A01433">
      <w:pPr>
        <w:pStyle w:val="Heading2"/>
      </w:pPr>
      <w:bookmarkStart w:id="5" w:name="_Toc353880062"/>
      <w:r w:rsidRPr="00A01433">
        <w:t>Example</w:t>
      </w:r>
      <w:bookmarkEnd w:id="5"/>
    </w:p>
    <w:p w:rsidR="00A01433" w:rsidRDefault="00A01433" w:rsidP="00A01433">
      <w:r>
        <w:t xml:space="preserve">For whatever reasons the user </w:t>
      </w:r>
      <w:r w:rsidR="004F4038">
        <w:t>may decide</w:t>
      </w:r>
      <w:r>
        <w:t xml:space="preserve"> to define the transmitted power by the emission mask as shown in Figure 1 below:</w:t>
      </w:r>
    </w:p>
    <w:p w:rsidR="00A01433" w:rsidRDefault="00A01433" w:rsidP="00A01433">
      <w:r>
        <w:rPr>
          <w:noProof/>
          <w:lang w:val="en-GB" w:eastAsia="en-GB"/>
        </w:rPr>
        <w:drawing>
          <wp:inline distT="0" distB="0" distL="0" distR="0">
            <wp:extent cx="5760720" cy="2675255"/>
            <wp:effectExtent l="19050" t="0" r="0" b="0"/>
            <wp:docPr id="4" name="Bild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433" w:rsidRDefault="00A01433" w:rsidP="00A01433">
      <w:pPr>
        <w:pStyle w:val="Caption"/>
      </w:pPr>
      <w:r>
        <w:t>Figure 1: transmit power defined by the emission mask</w:t>
      </w:r>
    </w:p>
    <w:p w:rsidR="000125E0" w:rsidRPr="000125E0" w:rsidRDefault="000125E0" w:rsidP="000125E0">
      <w:r>
        <w:t>Note: in order to avoid a misinterpretation it is proposed the remove “(kHz)” from the above legend.</w:t>
      </w:r>
    </w:p>
    <w:p w:rsidR="00A01433" w:rsidRDefault="00A01433" w:rsidP="00A01433">
      <w:pPr>
        <w:pStyle w:val="Heading2"/>
      </w:pPr>
      <w:bookmarkStart w:id="6" w:name="_Toc353880063"/>
      <w:r w:rsidRPr="00A01433">
        <w:t>Current implementation</w:t>
      </w:r>
      <w:bookmarkEnd w:id="6"/>
    </w:p>
    <w:p w:rsidR="00A01433" w:rsidRDefault="00E61A23" w:rsidP="00A01433">
      <w:r>
        <w:rPr>
          <w:noProof/>
          <w:lang w:val="en-GB" w:eastAsia="en-GB"/>
        </w:rPr>
        <w:drawing>
          <wp:inline distT="0" distB="0" distL="0" distR="0">
            <wp:extent cx="5760720" cy="2042160"/>
            <wp:effectExtent l="19050" t="0" r="0" b="0"/>
            <wp:docPr id="6" name="Bild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433" w:rsidRDefault="00A01433" w:rsidP="002409F7">
      <w:pPr>
        <w:pStyle w:val="ListParagraph"/>
        <w:numPr>
          <w:ilvl w:val="0"/>
          <w:numId w:val="22"/>
        </w:numPr>
      </w:pPr>
      <w:r>
        <w:t>SEAMCAT gets the value of the input field “Power” taking account of its distribution (</w:t>
      </w:r>
      <w:proofErr w:type="spellStart"/>
      <w:r>
        <w:t>getTxTrialPower</w:t>
      </w:r>
      <w:proofErr w:type="spellEnd"/>
      <w:r>
        <w:t>).</w:t>
      </w:r>
    </w:p>
    <w:p w:rsidR="002409F7" w:rsidRDefault="002409F7" w:rsidP="002409F7">
      <w:pPr>
        <w:pStyle w:val="ListParagraph"/>
        <w:numPr>
          <w:ilvl w:val="0"/>
          <w:numId w:val="22"/>
        </w:numPr>
      </w:pPr>
      <w:r>
        <w:t>SEAMCAT applies then the power control (if selected).</w:t>
      </w:r>
    </w:p>
    <w:p w:rsidR="00E61A23" w:rsidRDefault="00E61A23" w:rsidP="002409F7">
      <w:pPr>
        <w:pStyle w:val="ListParagraph"/>
        <w:numPr>
          <w:ilvl w:val="0"/>
          <w:numId w:val="22"/>
        </w:numPr>
      </w:pPr>
      <w:r>
        <w:t>SEAMCAT considers the antenna gains of ILT (</w:t>
      </w:r>
      <w:proofErr w:type="spellStart"/>
      <w:r w:rsidRPr="00E61A23">
        <w:t>rItVrAntGain</w:t>
      </w:r>
      <w:proofErr w:type="spellEnd"/>
      <w:r>
        <w:t>) as well as VLR (</w:t>
      </w:r>
      <w:proofErr w:type="spellStart"/>
      <w:r w:rsidRPr="00E61A23">
        <w:t>rVrItAntGain</w:t>
      </w:r>
      <w:proofErr w:type="spellEnd"/>
      <w:r>
        <w:t>).</w:t>
      </w:r>
    </w:p>
    <w:p w:rsidR="00A01433" w:rsidRDefault="00A01433" w:rsidP="002409F7">
      <w:pPr>
        <w:pStyle w:val="ListParagraph"/>
        <w:numPr>
          <w:ilvl w:val="0"/>
          <w:numId w:val="22"/>
        </w:numPr>
      </w:pPr>
      <w:r>
        <w:t xml:space="preserve">SEAMCAT does </w:t>
      </w:r>
      <w:r w:rsidRPr="002409F7">
        <w:rPr>
          <w:b/>
        </w:rPr>
        <w:t>not</w:t>
      </w:r>
      <w:r>
        <w:t xml:space="preserve"> consider any bandwidth</w:t>
      </w:r>
      <w:r w:rsidR="002409F7">
        <w:t xml:space="preserve"> in terms of power spectral density.</w:t>
      </w:r>
    </w:p>
    <w:p w:rsidR="00C472DC" w:rsidRDefault="00C472DC" w:rsidP="00C472DC"/>
    <w:p w:rsidR="00C472DC" w:rsidRDefault="00C472DC" w:rsidP="00C472DC">
      <w:r>
        <w:t xml:space="preserve">This leads to </w:t>
      </w:r>
      <w:r w:rsidR="00C85DA3">
        <w:t>an</w:t>
      </w:r>
      <w:r>
        <w:t xml:space="preserve"> erroneous calculation </w:t>
      </w:r>
      <w:r w:rsidR="00C85DA3">
        <w:t>by</w:t>
      </w:r>
      <w:r>
        <w:t xml:space="preserve"> not taking account of the defined power of (on the above example) 68 dBm/5 MHz.</w:t>
      </w:r>
    </w:p>
    <w:p w:rsidR="00C85DA3" w:rsidRDefault="00C85DA3" w:rsidP="00C472DC"/>
    <w:p w:rsidR="00C85DA3" w:rsidRDefault="00C85DA3" w:rsidP="00C85DA3">
      <w:pPr>
        <w:pStyle w:val="Heading2"/>
      </w:pPr>
      <w:bookmarkStart w:id="7" w:name="_Toc353880064"/>
      <w:r>
        <w:lastRenderedPageBreak/>
        <w:t>Trial to repair</w:t>
      </w:r>
      <w:bookmarkEnd w:id="7"/>
    </w:p>
    <w:p w:rsidR="00E61A23" w:rsidRDefault="00147974" w:rsidP="00E61A23">
      <w:r>
        <w:rPr>
          <w:noProof/>
          <w:lang w:val="en-GB" w:eastAsia="en-GB"/>
        </w:rPr>
        <w:drawing>
          <wp:inline distT="0" distB="0" distL="0" distR="0">
            <wp:extent cx="5760720" cy="1790700"/>
            <wp:effectExtent l="19050" t="0" r="0" b="0"/>
            <wp:docPr id="11" name="Bild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DA3" w:rsidRDefault="00A15265" w:rsidP="00E61A23">
      <w:r>
        <w:t xml:space="preserve">Adding the above code to the method </w:t>
      </w:r>
      <w:proofErr w:type="spellStart"/>
      <w:r w:rsidRPr="00A15265">
        <w:t>iRSSLinkBudgetBlock</w:t>
      </w:r>
      <w:proofErr w:type="spellEnd"/>
      <w:r>
        <w:t xml:space="preserve"> was the first trial to solve the</w:t>
      </w:r>
      <w:r w:rsidR="00C74C94">
        <w:t xml:space="preserve"> problem. </w:t>
      </w:r>
      <w:r w:rsidR="00C94C65">
        <w:t>U</w:t>
      </w:r>
      <w:r w:rsidR="00C74C94">
        <w:t>nfortunately</w:t>
      </w:r>
      <w:r w:rsidR="00C94C65">
        <w:t>, i</w:t>
      </w:r>
      <w:r>
        <w:t xml:space="preserve">n the environment of this method only the </w:t>
      </w:r>
      <w:proofErr w:type="spellStart"/>
      <w:r>
        <w:t>ArrayList</w:t>
      </w:r>
      <w:proofErr w:type="spellEnd"/>
      <w:r>
        <w:t xml:space="preserve"> “points” is made available, which is</w:t>
      </w:r>
      <w:bookmarkStart w:id="8" w:name="_GoBack"/>
      <w:bookmarkEnd w:id="8"/>
      <w:r>
        <w:t xml:space="preserve"> normalized to the bandwidth of 1 MHz</w:t>
      </w:r>
      <w:r w:rsidR="00101167">
        <w:t xml:space="preserve"> </w:t>
      </w:r>
      <w:r w:rsidR="00101167" w:rsidRPr="00BF488F">
        <w:rPr>
          <w:b/>
        </w:rPr>
        <w:t>and</w:t>
      </w:r>
      <w:r w:rsidR="00101167">
        <w:t xml:space="preserve"> </w:t>
      </w:r>
      <w:r w:rsidR="00554247">
        <w:t xml:space="preserve">additionally, </w:t>
      </w:r>
      <w:r w:rsidR="00101167">
        <w:t xml:space="preserve">the call of the method </w:t>
      </w:r>
      <w:proofErr w:type="spellStart"/>
      <w:r w:rsidR="00101167" w:rsidRPr="00101167">
        <w:t>getRefBandwidth</w:t>
      </w:r>
      <w:proofErr w:type="spellEnd"/>
      <w:r w:rsidR="00101167" w:rsidRPr="00101167">
        <w:t>()</w:t>
      </w:r>
      <w:r w:rsidR="00101167">
        <w:t xml:space="preserve"> returns zero.</w:t>
      </w:r>
    </w:p>
    <w:p w:rsidR="00583F70" w:rsidRDefault="00583F70" w:rsidP="00E61A23"/>
    <w:p w:rsidR="00583F70" w:rsidRPr="00583F70" w:rsidRDefault="00583F70" w:rsidP="00E61A23">
      <w:pPr>
        <w:rPr>
          <w:i/>
        </w:rPr>
      </w:pPr>
      <w:r w:rsidRPr="00583F70">
        <w:rPr>
          <w:i/>
        </w:rPr>
        <w:t xml:space="preserve">Note: the interface to the post processing plugin makes the </w:t>
      </w:r>
      <w:proofErr w:type="spellStart"/>
      <w:r w:rsidRPr="00583F70">
        <w:rPr>
          <w:i/>
        </w:rPr>
        <w:t>origPoints</w:t>
      </w:r>
      <w:proofErr w:type="spellEnd"/>
      <w:r w:rsidRPr="00583F70">
        <w:rPr>
          <w:i/>
        </w:rPr>
        <w:t xml:space="preserve"> available</w:t>
      </w:r>
      <w:r w:rsidR="00D068F3">
        <w:rPr>
          <w:i/>
        </w:rPr>
        <w:t>, i.e. one could correct the total power there.</w:t>
      </w:r>
    </w:p>
    <w:p w:rsidR="00583F70" w:rsidRPr="00101167" w:rsidRDefault="00583F70" w:rsidP="00E61A23">
      <w:r>
        <w:rPr>
          <w:noProof/>
          <w:lang w:val="en-GB" w:eastAsia="en-GB"/>
        </w:rPr>
        <w:drawing>
          <wp:inline distT="0" distB="0" distL="0" distR="0">
            <wp:extent cx="3161894" cy="1911485"/>
            <wp:effectExtent l="19050" t="0" r="406" b="0"/>
            <wp:docPr id="10" name="Bild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042" cy="1912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23" w:rsidRDefault="00E61A23" w:rsidP="00E61A23"/>
    <w:p w:rsidR="00BF1F9A" w:rsidRDefault="00BF1F9A" w:rsidP="00BF1F9A">
      <w:pPr>
        <w:pStyle w:val="Heading2"/>
      </w:pPr>
      <w:bookmarkStart w:id="9" w:name="_Toc353880065"/>
      <w:r>
        <w:t>Proposal</w:t>
      </w:r>
      <w:bookmarkEnd w:id="9"/>
      <w:r>
        <w:t xml:space="preserve"> </w:t>
      </w:r>
    </w:p>
    <w:p w:rsidR="00BF1F9A" w:rsidRPr="00BF1F9A" w:rsidRDefault="00BF1F9A" w:rsidP="00BF1F9A">
      <w:r>
        <w:t xml:space="preserve">As the reference bandwidth of the interfering transmitter is </w:t>
      </w:r>
      <w:r w:rsidR="00D01D53">
        <w:t xml:space="preserve">already </w:t>
      </w:r>
      <w:r>
        <w:t xml:space="preserve">required for the calculation of the co-channel part of the emission mask, it is proposed to change the calculation of the blocking interference in such a way, that the emission mask </w:t>
      </w:r>
      <w:r w:rsidR="00D01D53">
        <w:t xml:space="preserve">including its reference bandwidth </w:t>
      </w:r>
      <w:r>
        <w:t>is considered in general.</w:t>
      </w:r>
    </w:p>
    <w:sectPr w:rsidR="00BF1F9A" w:rsidRPr="00BF1F9A" w:rsidSect="00B363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380C"/>
    <w:multiLevelType w:val="hybridMultilevel"/>
    <w:tmpl w:val="B7E69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63F7A"/>
    <w:multiLevelType w:val="multilevel"/>
    <w:tmpl w:val="63A05A98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4E264B24"/>
    <w:multiLevelType w:val="multilevel"/>
    <w:tmpl w:val="8DB4B360"/>
    <w:lvl w:ilvl="0">
      <w:start w:val="1"/>
      <w:numFmt w:val="decimal"/>
      <w:pStyle w:val="ECCNumbered-LetteredList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417"/>
        </w:tabs>
        <w:ind w:left="206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5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30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5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40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6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 w:numId="22">
    <w:abstractNumId w:val="0"/>
  </w:num>
  <w:num w:numId="23">
    <w:abstractNumId w:val="1"/>
  </w:num>
  <w:num w:numId="24">
    <w:abstractNumId w:val="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7D22"/>
    <w:rsid w:val="000125E0"/>
    <w:rsid w:val="00072804"/>
    <w:rsid w:val="00101167"/>
    <w:rsid w:val="00147974"/>
    <w:rsid w:val="001920BE"/>
    <w:rsid w:val="001A2176"/>
    <w:rsid w:val="002409F7"/>
    <w:rsid w:val="002B6F66"/>
    <w:rsid w:val="002F426F"/>
    <w:rsid w:val="0037205D"/>
    <w:rsid w:val="004501C8"/>
    <w:rsid w:val="004F11CC"/>
    <w:rsid w:val="004F4038"/>
    <w:rsid w:val="005457D5"/>
    <w:rsid w:val="00554247"/>
    <w:rsid w:val="00583F70"/>
    <w:rsid w:val="005E74C5"/>
    <w:rsid w:val="006B74C1"/>
    <w:rsid w:val="00707870"/>
    <w:rsid w:val="00707D22"/>
    <w:rsid w:val="0071533B"/>
    <w:rsid w:val="00717BFD"/>
    <w:rsid w:val="007542ED"/>
    <w:rsid w:val="00825449"/>
    <w:rsid w:val="008710B2"/>
    <w:rsid w:val="008C337A"/>
    <w:rsid w:val="00912F35"/>
    <w:rsid w:val="00996286"/>
    <w:rsid w:val="00A01433"/>
    <w:rsid w:val="00A15265"/>
    <w:rsid w:val="00A17608"/>
    <w:rsid w:val="00AA34E8"/>
    <w:rsid w:val="00AE2971"/>
    <w:rsid w:val="00B3631C"/>
    <w:rsid w:val="00B9125B"/>
    <w:rsid w:val="00BB6C9B"/>
    <w:rsid w:val="00BF1F9A"/>
    <w:rsid w:val="00BF488F"/>
    <w:rsid w:val="00C472DC"/>
    <w:rsid w:val="00C74C94"/>
    <w:rsid w:val="00C85DA3"/>
    <w:rsid w:val="00C94C65"/>
    <w:rsid w:val="00CA6DF3"/>
    <w:rsid w:val="00CF769E"/>
    <w:rsid w:val="00D01D53"/>
    <w:rsid w:val="00D068F3"/>
    <w:rsid w:val="00D63125"/>
    <w:rsid w:val="00E61A23"/>
    <w:rsid w:val="00F26688"/>
    <w:rsid w:val="00F57505"/>
    <w:rsid w:val="00FB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F35"/>
    <w:rPr>
      <w:rFonts w:ascii="Arial" w:hAnsi="Arial"/>
      <w:szCs w:val="24"/>
      <w:lang w:val="en-US" w:eastAsia="en-US"/>
    </w:rPr>
  </w:style>
  <w:style w:type="paragraph" w:styleId="Heading1">
    <w:name w:val="heading 1"/>
    <w:aliases w:val="ECC Heading 1,H1,h1,h11,h12,h13,h14,h15,h16,h17,h111,h121,h131,h141,h151,h161,h18,h112,h122,h132,h142,h152,h162,h19,h113,h123,h133,h143,h153,h163,1,l1,II+,I,Section Head,Chapter Heading,h:1,h:1app,app heading 1,Head 1 (Chapter heading),Tit"/>
    <w:basedOn w:val="Normal"/>
    <w:next w:val="Normal"/>
    <w:link w:val="Heading1Char"/>
    <w:autoRedefine/>
    <w:uiPriority w:val="9"/>
    <w:qFormat/>
    <w:rsid w:val="00912F35"/>
    <w:pPr>
      <w:keepNext/>
      <w:pageBreakBefore/>
      <w:numPr>
        <w:numId w:val="17"/>
      </w:numPr>
      <w:spacing w:before="600" w:after="240"/>
      <w:outlineLvl w:val="0"/>
    </w:pPr>
    <w:rPr>
      <w:rFonts w:eastAsiaTheme="majorEastAsia"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h2,ECC Heading 2"/>
    <w:basedOn w:val="Normal"/>
    <w:next w:val="Normal"/>
    <w:link w:val="Heading2Char"/>
    <w:autoRedefine/>
    <w:uiPriority w:val="9"/>
    <w:qFormat/>
    <w:rsid w:val="00912F35"/>
    <w:pPr>
      <w:keepNext/>
      <w:numPr>
        <w:ilvl w:val="1"/>
        <w:numId w:val="17"/>
      </w:numPr>
      <w:spacing w:before="480" w:after="240"/>
      <w:outlineLvl w:val="1"/>
    </w:pPr>
    <w:rPr>
      <w:rFonts w:eastAsiaTheme="majorEastAsia" w:cs="Arial"/>
      <w:b/>
      <w:bCs/>
      <w:iCs/>
      <w:caps/>
      <w:szCs w:val="28"/>
    </w:rPr>
  </w:style>
  <w:style w:type="paragraph" w:styleId="Heading3">
    <w:name w:val="heading 3"/>
    <w:aliases w:val="ECC Heading 3,Heading 3 - JR"/>
    <w:basedOn w:val="Normal"/>
    <w:next w:val="Normal"/>
    <w:link w:val="Heading3Char"/>
    <w:autoRedefine/>
    <w:uiPriority w:val="9"/>
    <w:qFormat/>
    <w:rsid w:val="00912F35"/>
    <w:pPr>
      <w:keepNext/>
      <w:numPr>
        <w:ilvl w:val="2"/>
        <w:numId w:val="17"/>
      </w:numPr>
      <w:spacing w:before="360" w:after="120"/>
      <w:outlineLvl w:val="2"/>
    </w:pPr>
    <w:rPr>
      <w:rFonts w:eastAsiaTheme="majorEastAsia" w:cs="Arial"/>
      <w:b/>
      <w:bCs/>
      <w:szCs w:val="26"/>
    </w:rPr>
  </w:style>
  <w:style w:type="paragraph" w:styleId="Heading4">
    <w:name w:val="heading 4"/>
    <w:aliases w:val="ECC Heading 4"/>
    <w:basedOn w:val="Normal"/>
    <w:next w:val="Normal"/>
    <w:link w:val="Heading4Char"/>
    <w:autoRedefine/>
    <w:uiPriority w:val="9"/>
    <w:qFormat/>
    <w:rsid w:val="00912F35"/>
    <w:pPr>
      <w:spacing w:before="360" w:after="120"/>
      <w:outlineLvl w:val="3"/>
    </w:pPr>
    <w:rPr>
      <w:rFonts w:eastAsiaTheme="majorEastAsia"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rsid w:val="00912F35"/>
    <w:pPr>
      <w:numPr>
        <w:ilvl w:val="4"/>
        <w:numId w:val="17"/>
      </w:num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912F35"/>
    <w:pPr>
      <w:numPr>
        <w:ilvl w:val="5"/>
        <w:numId w:val="17"/>
      </w:numPr>
      <w:spacing w:before="240" w:after="60"/>
      <w:outlineLvl w:val="5"/>
    </w:pPr>
    <w:rPr>
      <w:rFonts w:eastAsiaTheme="majorEastAsia"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912F35"/>
    <w:pPr>
      <w:numPr>
        <w:ilvl w:val="6"/>
        <w:numId w:val="17"/>
      </w:numPr>
      <w:spacing w:before="240" w:after="60"/>
      <w:outlineLvl w:val="6"/>
    </w:pPr>
    <w:rPr>
      <w:rFonts w:eastAsiaTheme="majorEastAsia" w:cstheme="majorBidi"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912F35"/>
    <w:pPr>
      <w:numPr>
        <w:ilvl w:val="7"/>
        <w:numId w:val="17"/>
      </w:numPr>
      <w:spacing w:before="240" w:after="60"/>
      <w:outlineLvl w:val="7"/>
    </w:pPr>
    <w:rPr>
      <w:rFonts w:eastAsiaTheme="majorEastAsia" w:cstheme="majorBidi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912F35"/>
    <w:pPr>
      <w:numPr>
        <w:ilvl w:val="8"/>
        <w:numId w:val="17"/>
      </w:numPr>
      <w:spacing w:before="240" w:after="60"/>
      <w:outlineLvl w:val="8"/>
    </w:pPr>
    <w:rPr>
      <w:rFonts w:eastAsiaTheme="majorEastAsia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ECC Heading 2 Char"/>
    <w:link w:val="Heading2"/>
    <w:uiPriority w:val="9"/>
    <w:rsid w:val="00912F35"/>
    <w:rPr>
      <w:rFonts w:ascii="Arial" w:eastAsiaTheme="majorEastAsia" w:hAnsi="Arial" w:cs="Arial"/>
      <w:b/>
      <w:bCs/>
      <w:iCs/>
      <w:caps/>
      <w:szCs w:val="28"/>
      <w:lang w:val="en-US" w:eastAsia="en-US"/>
    </w:rPr>
  </w:style>
  <w:style w:type="character" w:customStyle="1" w:styleId="Heading1Char">
    <w:name w:val="Heading 1 Char"/>
    <w:aliases w:val="ECC Heading 1 Char,H1 Char,h1 Char,h11 Char,h12 Char,h13 Char,h14 Char,h15 Char,h16 Char,h17 Char,h111 Char,h121 Char,h131 Char,h141 Char,h151 Char,h161 Char,h18 Char,h112 Char,h122 Char,h132 Char,h142 Char,h152 Char,h162 Char,h19 Char"/>
    <w:link w:val="Heading1"/>
    <w:uiPriority w:val="9"/>
    <w:rsid w:val="00912F35"/>
    <w:rPr>
      <w:rFonts w:ascii="Arial" w:eastAsiaTheme="majorEastAsia" w:hAnsi="Arial" w:cs="Arial"/>
      <w:b/>
      <w:bCs/>
      <w:caps/>
      <w:color w:val="D2232A"/>
      <w:kern w:val="32"/>
      <w:szCs w:val="32"/>
      <w:lang w:val="en-GB" w:eastAsia="en-US"/>
    </w:rPr>
  </w:style>
  <w:style w:type="character" w:customStyle="1" w:styleId="Heading3Char">
    <w:name w:val="Heading 3 Char"/>
    <w:aliases w:val="ECC Heading 3 Char,Heading 3 - JR Char"/>
    <w:link w:val="Heading3"/>
    <w:uiPriority w:val="9"/>
    <w:rsid w:val="00912F35"/>
    <w:rPr>
      <w:rFonts w:ascii="Arial" w:eastAsiaTheme="majorEastAsia" w:hAnsi="Arial" w:cs="Arial"/>
      <w:b/>
      <w:bCs/>
      <w:szCs w:val="26"/>
      <w:lang w:val="en-US" w:eastAsia="en-US"/>
    </w:rPr>
  </w:style>
  <w:style w:type="character" w:customStyle="1" w:styleId="Heading4Char">
    <w:name w:val="Heading 4 Char"/>
    <w:aliases w:val="ECC Heading 4 Char"/>
    <w:link w:val="Heading4"/>
    <w:uiPriority w:val="9"/>
    <w:rsid w:val="00912F35"/>
    <w:rPr>
      <w:rFonts w:ascii="Arial" w:eastAsiaTheme="majorEastAsia" w:hAnsi="Arial" w:cs="Arial"/>
      <w:bCs/>
      <w:i/>
      <w:color w:val="D2232A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rsid w:val="00912F35"/>
    <w:rPr>
      <w:rFonts w:ascii="Arial" w:eastAsiaTheme="majorEastAsia" w:hAnsi="Arial" w:cstheme="maj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uiPriority w:val="9"/>
    <w:rsid w:val="00912F35"/>
    <w:rPr>
      <w:rFonts w:ascii="Arial" w:eastAsiaTheme="majorEastAsia" w:hAnsi="Arial" w:cstheme="majorBidi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"/>
    <w:rsid w:val="00912F35"/>
    <w:rPr>
      <w:rFonts w:ascii="Arial" w:eastAsiaTheme="majorEastAsia" w:hAnsi="Arial" w:cstheme="majorBidi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rsid w:val="00912F35"/>
    <w:rPr>
      <w:rFonts w:ascii="Arial" w:eastAsiaTheme="majorEastAsia" w:hAnsi="Arial" w:cstheme="maj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uiPriority w:val="9"/>
    <w:rsid w:val="00912F35"/>
    <w:rPr>
      <w:rFonts w:ascii="Arial" w:eastAsiaTheme="majorEastAsia" w:hAnsi="Arial" w:cs="Arial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12F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12F35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F3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2F35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912F35"/>
    <w:rPr>
      <w:b/>
      <w:bCs/>
    </w:rPr>
  </w:style>
  <w:style w:type="character" w:styleId="Emphasis">
    <w:name w:val="Emphasis"/>
    <w:uiPriority w:val="20"/>
    <w:qFormat/>
    <w:locked/>
    <w:rsid w:val="00912F35"/>
    <w:rPr>
      <w:rFonts w:cstheme="majorBidi"/>
      <w:i/>
      <w:iCs/>
    </w:rPr>
  </w:style>
  <w:style w:type="paragraph" w:styleId="NoSpacing">
    <w:name w:val="No Spacing"/>
    <w:basedOn w:val="Normal"/>
    <w:uiPriority w:val="1"/>
    <w:qFormat/>
    <w:rsid w:val="00912F35"/>
  </w:style>
  <w:style w:type="paragraph" w:styleId="ListParagraph">
    <w:name w:val="List Paragraph"/>
    <w:basedOn w:val="Normal"/>
    <w:uiPriority w:val="34"/>
    <w:qFormat/>
    <w:rsid w:val="00912F35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912F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12F35"/>
    <w:rPr>
      <w:rFonts w:ascii="Arial" w:hAnsi="Arial"/>
      <w:i/>
      <w:iCs/>
      <w:color w:val="000000" w:themeColor="text1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F3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F35"/>
    <w:rPr>
      <w:rFonts w:ascii="Arial" w:eastAsiaTheme="majorEastAsia" w:hAnsi="Arial" w:cstheme="majorBidi"/>
      <w:b/>
      <w:bCs/>
      <w:i/>
      <w:iCs/>
      <w:color w:val="4F81BD" w:themeColor="accent1"/>
      <w:szCs w:val="24"/>
      <w:lang w:val="en-US" w:eastAsia="en-US"/>
    </w:rPr>
  </w:style>
  <w:style w:type="character" w:styleId="SubtleEmphasis">
    <w:name w:val="Subtle Emphasis"/>
    <w:uiPriority w:val="19"/>
    <w:qFormat/>
    <w:rsid w:val="00912F35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912F35"/>
    <w:rPr>
      <w:rFonts w:cstheme="majorBidi"/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912F35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912F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912F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2F35"/>
    <w:pPr>
      <w:pageBreakBefore w:val="0"/>
      <w:numPr>
        <w:numId w:val="0"/>
      </w:numPr>
      <w:spacing w:before="240" w:after="60"/>
      <w:outlineLvl w:val="9"/>
    </w:pPr>
    <w:rPr>
      <w:rFonts w:asciiTheme="majorHAnsi" w:hAnsiTheme="majorHAnsi" w:cstheme="majorBidi"/>
      <w:caps w:val="0"/>
      <w:color w:val="auto"/>
      <w:sz w:val="32"/>
      <w:lang w:val="en-US"/>
    </w:rPr>
  </w:style>
  <w:style w:type="paragraph" w:customStyle="1" w:styleId="Funote">
    <w:name w:val="Fußnote"/>
    <w:basedOn w:val="Normal"/>
    <w:rsid w:val="00F26688"/>
    <w:rPr>
      <w:sz w:val="16"/>
      <w:szCs w:val="16"/>
    </w:rPr>
  </w:style>
  <w:style w:type="paragraph" w:styleId="Caption">
    <w:name w:val="caption"/>
    <w:aliases w:val="Ca"/>
    <w:basedOn w:val="Normal"/>
    <w:next w:val="Normal"/>
    <w:link w:val="CaptionChar"/>
    <w:uiPriority w:val="35"/>
    <w:qFormat/>
    <w:rsid w:val="00912F35"/>
    <w:pPr>
      <w:spacing w:before="240" w:after="240"/>
      <w:jc w:val="center"/>
    </w:pPr>
    <w:rPr>
      <w:b/>
      <w:bCs/>
      <w:color w:val="D2232A"/>
      <w:szCs w:val="20"/>
    </w:rPr>
  </w:style>
  <w:style w:type="character" w:customStyle="1" w:styleId="CaptionChar">
    <w:name w:val="Caption Char"/>
    <w:aliases w:val="Ca Char"/>
    <w:link w:val="Caption"/>
    <w:uiPriority w:val="35"/>
    <w:locked/>
    <w:rsid w:val="008710B2"/>
    <w:rPr>
      <w:rFonts w:ascii="Arial" w:hAnsi="Arial"/>
      <w:b/>
      <w:bCs/>
      <w:color w:val="D2232A"/>
      <w:lang w:val="en-US" w:eastAsia="en-US"/>
    </w:rPr>
  </w:style>
  <w:style w:type="paragraph" w:customStyle="1" w:styleId="ECCNumbered-LetteredList">
    <w:name w:val="ECC Numbered-Lettered List"/>
    <w:basedOn w:val="Normal"/>
    <w:qFormat/>
    <w:rsid w:val="00912F35"/>
    <w:pPr>
      <w:numPr>
        <w:numId w:val="18"/>
      </w:numPr>
    </w:pPr>
  </w:style>
  <w:style w:type="paragraph" w:customStyle="1" w:styleId="Listenabsatz1">
    <w:name w:val="Listenabsatz1"/>
    <w:basedOn w:val="Normal"/>
    <w:qFormat/>
    <w:rsid w:val="00912F35"/>
    <w:pPr>
      <w:ind w:left="708"/>
    </w:pPr>
  </w:style>
  <w:style w:type="paragraph" w:customStyle="1" w:styleId="Listenabsatz2">
    <w:name w:val="Listenabsatz2"/>
    <w:basedOn w:val="Normal"/>
    <w:qFormat/>
    <w:rsid w:val="00912F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5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505"/>
    <w:rPr>
      <w:rFonts w:ascii="Tahoma" w:hAnsi="Tahoma" w:cs="Tahoma"/>
      <w:sz w:val="16"/>
      <w:szCs w:val="16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920B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920BE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192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CO-Report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FEC15-73FE-442B-AB41-1D20BFCA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Koch</dc:creator>
  <cp:keywords/>
  <dc:description/>
  <cp:lastModifiedBy>Jean-Philippe Kermoal</cp:lastModifiedBy>
  <cp:revision>26</cp:revision>
  <dcterms:created xsi:type="dcterms:W3CDTF">2013-04-13T06:37:00Z</dcterms:created>
  <dcterms:modified xsi:type="dcterms:W3CDTF">2013-04-16T10:52:00Z</dcterms:modified>
</cp:coreProperties>
</file>